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03" w:rsidRPr="001E5D26" w:rsidRDefault="00AD5303" w:rsidP="001E5D26">
      <w:pPr>
        <w:spacing w:after="0"/>
        <w:ind w:left="850" w:right="850"/>
        <w:jc w:val="both"/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63</w:t>
      </w: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 xml:space="preserve">. </w:t>
      </w:r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Розкрийте</w:t>
      </w:r>
      <w:r w:rsidRPr="001E5D26">
        <w:rPr>
          <w:rFonts w:ascii="Calibri" w:hAnsi="Calibri" w:cs="Tahoma"/>
          <w:b/>
          <w:i/>
          <w:iCs/>
          <w:color w:val="000000"/>
          <w:sz w:val="20"/>
          <w:szCs w:val="20"/>
          <w:lang w:val="uk-UA"/>
        </w:rPr>
        <w:t xml:space="preserve"> сутність міжнародної економічної інтеграції.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 xml:space="preserve">Одним із найважливіших чинників розвитку людської цивілізації, безумовно, виявилася інтеграція. Вже за одне це вона гідна детального вивчення. Термін </w:t>
      </w:r>
      <w:proofErr w:type="spellStart"/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“інтеграція”</w:t>
      </w:r>
      <w:proofErr w:type="spellEnd"/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 xml:space="preserve"> походить з латині, де </w:t>
      </w:r>
      <w:proofErr w:type="spellStart"/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integratio</w:t>
      </w:r>
      <w:proofErr w:type="spellEnd"/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 xml:space="preserve"> означає з'єднання окремих частин у загальне, ціле, єдине. Одним із видів інтеграції є економічна інтеграція. Вона – найвищий ступінь розвитку міжнародних економічних відношень.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r w:rsidRPr="001E5D26">
        <w:rPr>
          <w:rFonts w:ascii="Calibri" w:eastAsia="Times New Roman" w:hAnsi="Calibri" w:cs="Tahoma"/>
          <w:b/>
          <w:iCs/>
          <w:color w:val="000000"/>
          <w:sz w:val="20"/>
          <w:szCs w:val="20"/>
          <w:lang w:val="uk-UA"/>
        </w:rPr>
        <w:t>Економічна інтеграція</w:t>
      </w: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 xml:space="preserve"> - це процес економічної взаємодії країн, який приводить до зближення господарських механізмів, що набуває форми міждержавних угод і узгоджено регульований міждержавними органами.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Процес економічної інтеграції відбувається тоді, коли дві (або більше) країни об'єднуються разом для створення ширшого економічного простору з метою: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  забезпечення кращих умов торгівлі;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збільшення розмірів ринку, використання ефекту масштабу виробництва;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розширення торгівлі паралельно з поліпшенням інфраструктури;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поширення передових технологій;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стимулювання конкуренції.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Інтеграція України у світову економіку передбачає пошук свого місця в системі міжнародного й насамперед загальноєвропейського поділу праці.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Негативну роль на інтеграційні зв’язки України відіграє так звана «багатовекторність» — непослідовна політика балансування між ЄС і Росією, яка перешкоджає недвозначному визначенню інтеграційних пріоритетів України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</w:t>
      </w: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З одного боку, перший крок до вступу в  Європейський Союз (ЄС) Україна зробила у травні 2008 року, коли вступила до СОТ (Світової організації торгівлі до якої входить 153 країни), що є початком для інтеграції України до ЄС.З іншого боку глибокі інтеграційні зв’язки України з Російською Федерацією, є її залежність від енергоресурсів та торгівельно-економічних зв’я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</w:t>
      </w: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ків.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Наслідки інтеграції: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розвиток експортного потенціалу та поліпшення структури експорту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раціоналізацію імпорту;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підвищення конкурентоспроможності вітчизняної продукції;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залучення іноземних інвестицій для технологічної модернізації виробництва;</w:t>
      </w:r>
    </w:p>
    <w:p w:rsid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  <w:t>- забезпечення економічної безпеки України.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64.</w:t>
      </w:r>
      <w:r w:rsid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Сутність…глобальних….проблем….</w:t>
      </w:r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сучасності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  <w:t xml:space="preserve">Великі економісти минулого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неодноразово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підкреслювали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діалектичну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єдність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природного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соціального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природного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всіх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рівнях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людських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відносин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Людське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суспільство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внутрішньо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пов'язане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природним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середовищем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через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виробничу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діяльність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яка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залежить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форми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соціальної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організації й характеру виробничих відносин, властивих певному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суспільству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Виникнення глобальних проблем пов'язане як з конкретною сферою життєдіяльності суспільства, так і з конкретним соціально-економічним середовищем, де реалізується та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чи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інша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сфера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діяльності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людей.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  <w:t xml:space="preserve">На виникнення подібних проблем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вперше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звернули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увагу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західні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вчені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в 60-х роках XX ст.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Наприклад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Р. Фолк, О.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Тоффлер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Д.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Медоуз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Дж.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Форрестер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Р.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Хейлбронер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до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проблем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відносять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досить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вузьке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коло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питань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- перенаселення планети, порушення екологічної рівноваги, виснаження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ресурсів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Такі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вчені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як В.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Леонтьєв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Е. Пестель, Я.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Тінберген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визнаючи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наявність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багатьох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проблем, найголовнішою вважають економічну відсталість країн, що розвиваються. Г. Кан, Дж.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Фелпс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вважають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що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пе-ред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людством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стоїть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близько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20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проблем, 9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яких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-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найголовніші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Близько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до теоретичного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обгрунтування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проблем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підійшли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вчені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колишнього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СРСР В.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Загладін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Д.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Гвішиані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М. Максимова, І.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Фролов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та ін.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  <w:t xml:space="preserve">У цілому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глобалістика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як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самостійна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галузь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знань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найзагальніші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планетарні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проблеми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сучасного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майбутнього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розвитку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людської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цивілізації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перебуває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в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процесі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становлення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  <w:t xml:space="preserve">Проблеми взаємовідносин людини і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суспільства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природою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самих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відносин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класифікують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як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глобальні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якщо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: 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а) вони мають загальносвітовий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характері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тобто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стосуються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інтересів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усіх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або значної групи держав;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б)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нерозв'язання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їх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викликає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загрозу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людству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регрес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в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умовах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життя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людей, у розвитку продуктивних сил;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b/>
          <w:iCs/>
          <w:color w:val="000000"/>
          <w:sz w:val="20"/>
          <w:szCs w:val="20"/>
          <w:lang w:val="uk-UA"/>
        </w:rPr>
      </w:pP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lastRenderedPageBreak/>
        <w:t xml:space="preserve"> в) вони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потребують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невідкладних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рішучих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дій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основі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колективних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скоординованих зусиль світового товариства</w:t>
      </w:r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.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Глобальність</w:t>
      </w:r>
      <w:proofErr w:type="spellEnd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 xml:space="preserve"> 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- не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географічне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поняття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Вона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означає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що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подібні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проблеми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стосуються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інтересів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усіх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класів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верств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населення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усіх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країн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народів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планети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впливають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всі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сфери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життя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від-биваються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певною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мірою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стані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справ у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всіх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районах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планети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  <w:t xml:space="preserve">За такими ознаками глобальні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проблеми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поділяють</w:t>
      </w:r>
      <w:proofErr w:type="spellEnd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 xml:space="preserve"> на три </w:t>
      </w:r>
      <w:proofErr w:type="spellStart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сфери</w:t>
      </w:r>
      <w:proofErr w:type="spellEnd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дії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</w:r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До першої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сфери належать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проблеми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які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виникають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у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сфері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взаємодії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природи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суспільства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Серед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них: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надійне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забезпечення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людства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сировиною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енергією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продовольством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тощо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збереження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природного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навколишнього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середовища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освоєння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ресурсів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Світового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океану,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оволодіння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космічним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простором. 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</w:r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До другої сфери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належать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проблеми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взаємовідносин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саме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: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відносин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між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державами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різних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економічних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устроїв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подолання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економічної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відсталості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багатьох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країн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світу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локальні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регіональні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та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міжнародні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кризи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тощо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</w:r>
      <w:proofErr w:type="spellStart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>Третя</w:t>
      </w:r>
      <w:proofErr w:type="spellEnd"/>
      <w:r w:rsidRPr="001E5D26">
        <w:rPr>
          <w:rFonts w:ascii="Calibri" w:hAnsi="Calibri" w:cs="Tahoma"/>
          <w:b/>
          <w:iCs/>
          <w:color w:val="000000"/>
          <w:sz w:val="20"/>
          <w:szCs w:val="20"/>
          <w:lang w:val="uk-UA"/>
        </w:rPr>
        <w:t xml:space="preserve"> сфера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-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розвиток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людини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забезпечення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її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майбутнього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Вона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охоплює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передусім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проблеми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пристосування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сучасної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людини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до умов природного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соціального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середовища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що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змінюються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під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впливом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науково-технічного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прогресу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питання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сучасної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урбанізації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боротьби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епідеміями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тяжкими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захворюваннями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(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серцево-судинними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онкологічними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СНІДом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). </w:t>
      </w:r>
    </w:p>
    <w:p w:rsidR="00AD5303" w:rsidRPr="001E5D26" w:rsidRDefault="00AD5303" w:rsidP="001E5D26">
      <w:pPr>
        <w:spacing w:after="0"/>
        <w:ind w:left="850" w:right="850"/>
        <w:jc w:val="both"/>
        <w:rPr>
          <w:rFonts w:ascii="Calibri" w:eastAsia="Times New Roman" w:hAnsi="Calibri" w:cs="Tahoma"/>
          <w:i/>
          <w:iCs/>
          <w:color w:val="000000"/>
          <w:sz w:val="20"/>
          <w:szCs w:val="20"/>
          <w:lang w:val="uk-UA"/>
        </w:rPr>
      </w:pP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Класифікація глобальних проблем за сферами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дії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не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означає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що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вони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відокремлені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одна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одної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Кожна глобальна проблема є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об'єктивною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за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своїм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характером і має матеріальну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основу.На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прояв і загострення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проблем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впливають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реальні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конкретно-історичні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умови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Без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урахування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соціальних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факторів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специфіки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суспільного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устрою окремих держав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не-можливо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до кінця з'ясувати суть і джерела цих проблем.</w:t>
      </w:r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br/>
        <w:t xml:space="preserve">Отже, при аналізі глобальних проблем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слід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враховувати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загальні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закономірності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історичного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процесу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;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загальні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тенденції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розвитку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продуктивних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сил,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впливу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на них НТР;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соціальні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фактори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. За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цих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умов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оптимальне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розв'язання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проблем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потребує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поєд-нання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науково-технічних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соціально-політичних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факторів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у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єдиний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механізм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основу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якого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становитимуть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колективні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дії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усіх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держав.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Координація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зусиль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сторін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що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беруть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участь у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розв'язанні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глобальних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проблем,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грунтується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на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визначенні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посильного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внеску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кожної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з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країн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та умов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участі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незалежно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від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рівня</w:t>
      </w:r>
      <w:proofErr w:type="spellEnd"/>
      <w:r w:rsidRPr="001E5D26">
        <w:rPr>
          <w:rFonts w:ascii="Calibri" w:hAnsi="Calibri" w:cs="Tahoma"/>
          <w:i/>
          <w:iCs/>
          <w:sz w:val="20"/>
          <w:szCs w:val="20"/>
          <w:lang w:val="uk-UA"/>
        </w:rPr>
        <w:t> 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економічного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розвитку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і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соціального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 xml:space="preserve"> устрою </w:t>
      </w:r>
      <w:proofErr w:type="spellStart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її</w:t>
      </w:r>
      <w:proofErr w:type="spellEnd"/>
      <w:r w:rsidRPr="001E5D26">
        <w:rPr>
          <w:rFonts w:ascii="Calibri" w:hAnsi="Calibri" w:cs="Tahoma"/>
          <w:i/>
          <w:iCs/>
          <w:color w:val="000000"/>
          <w:sz w:val="20"/>
          <w:szCs w:val="20"/>
          <w:lang w:val="uk-UA"/>
        </w:rPr>
        <w:t>.</w:t>
      </w:r>
    </w:p>
    <w:p w:rsidR="001D2682" w:rsidRPr="001E5D26" w:rsidRDefault="001D2682" w:rsidP="001E5D26">
      <w:pPr>
        <w:spacing w:after="0"/>
        <w:ind w:left="850" w:right="850"/>
        <w:jc w:val="both"/>
        <w:rPr>
          <w:rFonts w:ascii="Calibri" w:hAnsi="Calibri" w:cs="Tahoma"/>
          <w:i/>
          <w:iCs/>
          <w:color w:val="000000"/>
          <w:sz w:val="20"/>
          <w:szCs w:val="20"/>
          <w:lang w:val="uk-UA"/>
        </w:rPr>
      </w:pPr>
    </w:p>
    <w:sectPr w:rsidR="001D2682" w:rsidRPr="001E5D26" w:rsidSect="00AD530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5303"/>
    <w:rsid w:val="001D2682"/>
    <w:rsid w:val="001E5D26"/>
    <w:rsid w:val="00AD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5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2015-06-08T18:35:00Z</dcterms:created>
  <dcterms:modified xsi:type="dcterms:W3CDTF">2015-06-08T18:35:00Z</dcterms:modified>
</cp:coreProperties>
</file>